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6A3E" w14:textId="524B447B" w:rsidR="00CD19FC" w:rsidRDefault="00CD19FC" w:rsidP="00CD19FC">
      <w:pPr>
        <w:jc w:val="center"/>
        <w:rPr>
          <w:b/>
          <w:bCs/>
        </w:rPr>
      </w:pPr>
      <w:r w:rsidRPr="00CD19FC">
        <w:rPr>
          <w:b/>
          <w:bCs/>
          <w:highlight w:val="yellow"/>
        </w:rPr>
        <w:t>REPLACE ALL BRACKETED TEXT</w:t>
      </w:r>
      <w:r>
        <w:rPr>
          <w:b/>
          <w:bCs/>
          <w:highlight w:val="yellow"/>
        </w:rPr>
        <w:t xml:space="preserve"> &amp; </w:t>
      </w:r>
      <w:r w:rsidRPr="00CD19FC">
        <w:rPr>
          <w:b/>
          <w:bCs/>
          <w:highlight w:val="yellow"/>
        </w:rPr>
        <w:t>DELETE THIS LINE</w:t>
      </w:r>
      <w:r>
        <w:rPr>
          <w:b/>
          <w:bCs/>
          <w:highlight w:val="yellow"/>
        </w:rPr>
        <w:t xml:space="preserve"> OF</w:t>
      </w:r>
      <w:r w:rsidRPr="00CD19FC">
        <w:rPr>
          <w:b/>
          <w:bCs/>
          <w:highlight w:val="yellow"/>
        </w:rPr>
        <w:t xml:space="preserve"> </w:t>
      </w:r>
      <w:r>
        <w:rPr>
          <w:b/>
          <w:bCs/>
          <w:highlight w:val="yellow"/>
        </w:rPr>
        <w:t xml:space="preserve">HIGHLIGHTED </w:t>
      </w:r>
      <w:r w:rsidRPr="00CD19FC">
        <w:rPr>
          <w:b/>
          <w:bCs/>
          <w:highlight w:val="yellow"/>
        </w:rPr>
        <w:t>TEXT</w:t>
      </w:r>
    </w:p>
    <w:p w14:paraId="163F3287" w14:textId="1D4C5704" w:rsidR="00CD19FC" w:rsidRPr="00CC78AE" w:rsidRDefault="00CD19FC" w:rsidP="00CC78AE">
      <w:pPr>
        <w:spacing w:line="276" w:lineRule="auto"/>
        <w:jc w:val="center"/>
        <w:rPr>
          <w:b/>
          <w:bCs/>
        </w:rPr>
      </w:pPr>
      <w:r w:rsidRPr="00CD19FC">
        <w:rPr>
          <w:b/>
          <w:bCs/>
        </w:rPr>
        <w:t>CONCISE EXPLANATORY STATEMENT</w:t>
      </w:r>
    </w:p>
    <w:p w14:paraId="432E5534" w14:textId="68C5F4DC" w:rsidR="00CD19FC" w:rsidRDefault="00CC78AE" w:rsidP="00CC78AE">
      <w:pPr>
        <w:spacing w:line="276" w:lineRule="auto"/>
      </w:pPr>
      <w:r>
        <w:rPr>
          <w:noProof/>
        </w:rPr>
        <mc:AlternateContent>
          <mc:Choice Requires="wps">
            <w:drawing>
              <wp:anchor distT="0" distB="0" distL="114300" distR="114300" simplePos="0" relativeHeight="251658240" behindDoc="0" locked="0" layoutInCell="1" allowOverlap="1" wp14:anchorId="44125E61" wp14:editId="407BCF21">
                <wp:simplePos x="0" y="0"/>
                <wp:positionH relativeFrom="column">
                  <wp:posOffset>-635</wp:posOffset>
                </wp:positionH>
                <wp:positionV relativeFrom="paragraph">
                  <wp:posOffset>143510</wp:posOffset>
                </wp:positionV>
                <wp:extent cx="5939155" cy="635"/>
                <wp:effectExtent l="18415" t="10160" r="14605" b="177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635"/>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5677F" id="_x0000_t32" coordsize="21600,21600" o:spt="32" o:oned="t" path="m,l21600,21600e" filled="f">
                <v:path arrowok="t" fillok="f" o:connecttype="none"/>
                <o:lock v:ext="edit" shapetype="t"/>
              </v:shapetype>
              <v:shape id="AutoShape 5" o:spid="_x0000_s1026" type="#_x0000_t32" style="position:absolute;margin-left:-.05pt;margin-top:11.3pt;width:467.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" strokecolor="black [3213]" strokeweight="1.5pt"/>
            </w:pict>
          </mc:Fallback>
        </mc:AlternateContent>
      </w:r>
    </w:p>
    <w:p w14:paraId="551ACF50" w14:textId="1F0B8A7E" w:rsidR="00CD19FC" w:rsidRDefault="00CD19FC" w:rsidP="00CC78AE">
      <w:pPr>
        <w:spacing w:line="276" w:lineRule="auto"/>
      </w:pPr>
    </w:p>
    <w:p w14:paraId="7DDA2DD1" w14:textId="4FE9924F" w:rsidR="00CD19FC" w:rsidRDefault="00CD19FC" w:rsidP="00CC78AE">
      <w:pPr>
        <w:spacing w:line="276" w:lineRule="auto"/>
      </w:pPr>
      <w:r>
        <w:t>In accordance with the Administrative Procedures Act, R.I. Gen. Laws § 42-35-2.6, the following is a concise explanatory statement:</w:t>
      </w:r>
    </w:p>
    <w:p w14:paraId="6757A862" w14:textId="77777777" w:rsidR="00CD19FC" w:rsidRDefault="00CD19FC" w:rsidP="00CC78AE">
      <w:pPr>
        <w:spacing w:line="276" w:lineRule="auto"/>
      </w:pPr>
    </w:p>
    <w:p w14:paraId="361CA0F0" w14:textId="54047583" w:rsidR="00CD19FC" w:rsidRPr="00CD19FC" w:rsidRDefault="00CD19FC" w:rsidP="00CC78AE">
      <w:pPr>
        <w:spacing w:line="276" w:lineRule="auto"/>
        <w:rPr>
          <w:b/>
          <w:bCs/>
        </w:rPr>
      </w:pPr>
      <w:r w:rsidRPr="00CD19FC">
        <w:rPr>
          <w:b/>
          <w:bCs/>
        </w:rPr>
        <w:t>AGENCY:</w:t>
      </w:r>
      <w:r w:rsidRPr="00CD19FC">
        <w:t xml:space="preserve"> </w:t>
      </w:r>
      <w:r w:rsidRPr="00CD19FC">
        <w:t>[</w:t>
      </w:r>
      <w:r>
        <w:t>agency name</w:t>
      </w:r>
      <w:r w:rsidRPr="00CD19FC">
        <w:t>]</w:t>
      </w:r>
    </w:p>
    <w:p w14:paraId="277D0055" w14:textId="77777777" w:rsidR="00CD19FC" w:rsidRDefault="00CD19FC" w:rsidP="00CC78AE">
      <w:pPr>
        <w:spacing w:line="276" w:lineRule="auto"/>
        <w:rPr>
          <w:b/>
        </w:rPr>
      </w:pPr>
    </w:p>
    <w:p w14:paraId="0356F454" w14:textId="4F0D29DE" w:rsidR="00CD19FC" w:rsidRDefault="00CD19FC" w:rsidP="00CC78AE">
      <w:pPr>
        <w:spacing w:line="276" w:lineRule="auto"/>
      </w:pPr>
      <w:r>
        <w:rPr>
          <w:b/>
        </w:rPr>
        <w:t>DIVISION:</w:t>
      </w:r>
      <w:r w:rsidRPr="00CD19FC">
        <w:rPr>
          <w:bCs/>
        </w:rPr>
        <w:t xml:space="preserve"> </w:t>
      </w:r>
      <w:r>
        <w:t xml:space="preserve">[agency </w:t>
      </w:r>
      <w:r w:rsidR="00CC78AE">
        <w:t xml:space="preserve">division, </w:t>
      </w:r>
      <w:r>
        <w:t>i</w:t>
      </w:r>
      <w:r>
        <w:t xml:space="preserve">f </w:t>
      </w:r>
      <w:r>
        <w:t>applicable]</w:t>
      </w:r>
    </w:p>
    <w:p w14:paraId="3E3878BD" w14:textId="77777777" w:rsidR="00CD19FC" w:rsidRDefault="00CD19FC" w:rsidP="00CC78AE">
      <w:pPr>
        <w:spacing w:line="276" w:lineRule="auto"/>
        <w:rPr>
          <w:b/>
          <w:bCs/>
        </w:rPr>
      </w:pPr>
    </w:p>
    <w:p w14:paraId="39E7E586" w14:textId="5551D687" w:rsidR="00CD19FC" w:rsidRPr="00CD19FC" w:rsidRDefault="00CD19FC" w:rsidP="00CC78AE">
      <w:pPr>
        <w:spacing w:line="276" w:lineRule="auto"/>
        <w:rPr>
          <w:iCs/>
        </w:rPr>
      </w:pPr>
      <w:r w:rsidRPr="00CD19FC">
        <w:rPr>
          <w:b/>
          <w:bCs/>
        </w:rPr>
        <w:t>RULE IDENTIFIER:</w:t>
      </w:r>
      <w:r w:rsidRPr="00CD19FC">
        <w:t xml:space="preserve"> </w:t>
      </w:r>
      <w:r w:rsidR="00CC78AE">
        <w:t>[</w:t>
      </w:r>
      <w:r>
        <w:rPr>
          <w:iCs/>
        </w:rPr>
        <w:t>XX-RICR-XX-XX-X</w:t>
      </w:r>
      <w:r w:rsidR="00CC78AE">
        <w:rPr>
          <w:iCs/>
        </w:rPr>
        <w:t>]</w:t>
      </w:r>
    </w:p>
    <w:p w14:paraId="105D2990" w14:textId="77777777" w:rsidR="00CD19FC" w:rsidRDefault="00CD19FC" w:rsidP="00CC78AE">
      <w:pPr>
        <w:spacing w:line="276" w:lineRule="auto"/>
      </w:pPr>
      <w:r>
        <w:t xml:space="preserve"> </w:t>
      </w:r>
    </w:p>
    <w:p w14:paraId="73C59E9D" w14:textId="77777777" w:rsidR="00CC78AE" w:rsidRDefault="00CD19FC" w:rsidP="00CC78AE">
      <w:pPr>
        <w:spacing w:line="276" w:lineRule="auto"/>
      </w:pPr>
      <w:r>
        <w:rPr>
          <w:b/>
        </w:rPr>
        <w:t>RULE TITLE:</w:t>
      </w:r>
      <w:r>
        <w:t xml:space="preserve"> </w:t>
      </w:r>
    </w:p>
    <w:p w14:paraId="611031A8" w14:textId="3F9FE29E" w:rsidR="00CD19FC" w:rsidRDefault="00CD19FC" w:rsidP="00CC78AE">
      <w:pPr>
        <w:spacing w:line="276" w:lineRule="auto"/>
      </w:pPr>
      <w:r>
        <w:t>[full title of the rule]</w:t>
      </w:r>
    </w:p>
    <w:p w14:paraId="454DEAA6" w14:textId="77777777" w:rsidR="00CD19FC" w:rsidRDefault="00CD19FC" w:rsidP="00CC78AE">
      <w:pPr>
        <w:spacing w:line="276" w:lineRule="auto"/>
      </w:pPr>
      <w:r>
        <w:t xml:space="preserve"> </w:t>
      </w:r>
    </w:p>
    <w:p w14:paraId="592FBC5E" w14:textId="199D99DB" w:rsidR="00CD19FC" w:rsidRDefault="00CD19FC" w:rsidP="00CC78AE">
      <w:pPr>
        <w:spacing w:line="276" w:lineRule="auto"/>
      </w:pPr>
      <w:r>
        <w:rPr>
          <w:b/>
        </w:rPr>
        <w:t>REASON FOR RULEMAKING</w:t>
      </w:r>
      <w:r w:rsidRPr="00CD19FC">
        <w:rPr>
          <w:b/>
          <w:bCs/>
        </w:rPr>
        <w:t>:</w:t>
      </w:r>
      <w:r>
        <w:br/>
        <w:t>[</w:t>
      </w:r>
      <w:r>
        <w:t>Provide a brief description of the reason for the adoption, amendment or repeal of the Rule.</w:t>
      </w:r>
      <w:r>
        <w:t>]</w:t>
      </w:r>
    </w:p>
    <w:p w14:paraId="7ED3C799" w14:textId="77777777" w:rsidR="00CD19FC" w:rsidRDefault="00CD19FC" w:rsidP="00CC78AE">
      <w:pPr>
        <w:spacing w:line="276" w:lineRule="auto"/>
      </w:pPr>
    </w:p>
    <w:p w14:paraId="175A48BA" w14:textId="7FD7EC9F" w:rsidR="00CD19FC" w:rsidRPr="00CD19FC" w:rsidRDefault="00CD19FC" w:rsidP="00CC78AE">
      <w:pPr>
        <w:spacing w:line="276" w:lineRule="auto"/>
        <w:rPr>
          <w:iCs/>
        </w:rPr>
      </w:pPr>
      <w:r w:rsidRPr="00CD19FC">
        <w:rPr>
          <w:b/>
          <w:bCs/>
        </w:rPr>
        <w:t xml:space="preserve">ANY FINDING REQUIRED BY LAW AS A PREREQUISITE TO THE </w:t>
      </w:r>
      <w:r>
        <w:rPr>
          <w:b/>
          <w:bCs/>
        </w:rPr>
        <w:t>E</w:t>
      </w:r>
      <w:r w:rsidRPr="00CD19FC">
        <w:rPr>
          <w:b/>
          <w:bCs/>
        </w:rPr>
        <w:t>FFECTIVENESS OF THE RULE:</w:t>
      </w:r>
      <w:r>
        <w:br/>
        <w:t xml:space="preserve">[List finding(s), </w:t>
      </w:r>
      <w:r w:rsidRPr="00CD19FC">
        <w:rPr>
          <w:iCs/>
        </w:rPr>
        <w:t>if any</w:t>
      </w:r>
      <w:r>
        <w:rPr>
          <w:iCs/>
        </w:rPr>
        <w:t>]</w:t>
      </w:r>
    </w:p>
    <w:p w14:paraId="31340464" w14:textId="77777777" w:rsidR="00CD19FC" w:rsidRPr="00CD19FC" w:rsidRDefault="00CD19FC" w:rsidP="00CC78AE">
      <w:pPr>
        <w:spacing w:line="276" w:lineRule="auto"/>
        <w:rPr>
          <w:b/>
          <w:iCs/>
        </w:rPr>
      </w:pPr>
    </w:p>
    <w:p w14:paraId="7DA4D498" w14:textId="52FE31EB" w:rsidR="00CD19FC" w:rsidRDefault="00CD19FC" w:rsidP="00CC78AE">
      <w:pPr>
        <w:spacing w:line="276" w:lineRule="auto"/>
      </w:pPr>
      <w:r>
        <w:rPr>
          <w:b/>
        </w:rPr>
        <w:t>TESTIMONY AND COMMENTS:</w:t>
      </w:r>
      <w:r>
        <w:rPr>
          <w:bCs/>
        </w:rPr>
        <w:br/>
      </w:r>
      <w:r w:rsidRPr="00CD19FC">
        <w:rPr>
          <w:bCs/>
        </w:rPr>
        <w:t>[</w:t>
      </w:r>
      <w:r>
        <w:t xml:space="preserve">Provide the reasons for </w:t>
      </w:r>
      <w:r w:rsidRPr="00CD19FC">
        <w:rPr>
          <w:u w:color="000000"/>
        </w:rPr>
        <w:t xml:space="preserve">not </w:t>
      </w:r>
      <w:r>
        <w:t>accepting arguments made in testimony and comments.</w:t>
      </w:r>
      <w:r>
        <w:t>]</w:t>
      </w:r>
    </w:p>
    <w:p w14:paraId="283BBFCA" w14:textId="77777777" w:rsidR="00CD19FC" w:rsidRDefault="00CD19FC" w:rsidP="00CC78AE">
      <w:pPr>
        <w:spacing w:line="276" w:lineRule="auto"/>
        <w:rPr>
          <w:b/>
        </w:rPr>
      </w:pPr>
    </w:p>
    <w:p w14:paraId="61312683" w14:textId="77777777" w:rsidR="00CD19FC" w:rsidRDefault="00CD19FC" w:rsidP="00CC78AE">
      <w:pPr>
        <w:spacing w:line="276" w:lineRule="auto"/>
      </w:pPr>
      <w:r>
        <w:rPr>
          <w:b/>
        </w:rPr>
        <w:t>CHANGE TO TEXT OF THE RULE</w:t>
      </w:r>
      <w:r w:rsidRPr="00CD19FC">
        <w:rPr>
          <w:b/>
          <w:bCs/>
        </w:rPr>
        <w:t>:</w:t>
      </w:r>
    </w:p>
    <w:p w14:paraId="377CC0EF" w14:textId="1750BE5F" w:rsidR="00CD19FC" w:rsidRDefault="00CD19FC" w:rsidP="00CC78AE">
      <w:pPr>
        <w:spacing w:line="276" w:lineRule="auto"/>
      </w:pPr>
      <w:r>
        <w:t>[</w:t>
      </w:r>
      <w:r>
        <w:t>Identify any changes between the text of the Rule as proposed and the text of the Final Rule and explain why these changes were made to the final text. Note that an agency may not file a Rule that differs from the Rule proposed in the Notice of Proposed Rulemaking unless the Final Rule is consistent with, and a logical outgrowth of, the Rule proposed in the Notice.</w:t>
      </w:r>
      <w:r>
        <w:t>]</w:t>
      </w:r>
    </w:p>
    <w:p w14:paraId="2131D04C" w14:textId="77777777" w:rsidR="00CD19FC" w:rsidRDefault="00CD19FC" w:rsidP="00CC78AE">
      <w:pPr>
        <w:spacing w:line="276" w:lineRule="auto"/>
        <w:rPr>
          <w:b/>
        </w:rPr>
      </w:pPr>
    </w:p>
    <w:p w14:paraId="116774CF" w14:textId="0DB55058" w:rsidR="00CD19FC" w:rsidRDefault="00CD19FC" w:rsidP="00CC78AE">
      <w:pPr>
        <w:spacing w:line="276" w:lineRule="auto"/>
      </w:pPr>
      <w:r>
        <w:rPr>
          <w:b/>
        </w:rPr>
        <w:t>REGULATORY ANALYSIS</w:t>
      </w:r>
      <w:r w:rsidRPr="00CD19FC">
        <w:rPr>
          <w:b/>
          <w:bCs/>
        </w:rPr>
        <w:t>:</w:t>
      </w:r>
    </w:p>
    <w:p w14:paraId="14D7E916" w14:textId="48F8D94E" w:rsidR="00B41D63" w:rsidRDefault="00CD19FC" w:rsidP="00CC78AE">
      <w:pPr>
        <w:spacing w:line="276" w:lineRule="auto"/>
      </w:pPr>
      <w:r>
        <w:t>[</w:t>
      </w:r>
      <w:r>
        <w:t xml:space="preserve">Provide the text of the regulatory analysis prepared under R.I. Gen. Laws </w:t>
      </w:r>
      <w:r>
        <w:rPr>
          <w:sz w:val="22"/>
        </w:rPr>
        <w:t>§ 42-35-2.9.</w:t>
      </w:r>
    </w:p>
    <w:sectPr w:rsidR="00B41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0AA2" w14:textId="77777777" w:rsidR="00BC2FF1" w:rsidRDefault="00BC2FF1" w:rsidP="00CC78AE">
      <w:pPr>
        <w:spacing w:after="0" w:line="240" w:lineRule="auto"/>
      </w:pPr>
      <w:r>
        <w:separator/>
      </w:r>
    </w:p>
  </w:endnote>
  <w:endnote w:type="continuationSeparator" w:id="0">
    <w:p w14:paraId="67F4579B" w14:textId="77777777" w:rsidR="00BC2FF1" w:rsidRDefault="00BC2FF1" w:rsidP="00CC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E7EF" w14:textId="77777777" w:rsidR="00BC2FF1" w:rsidRDefault="00BC2FF1" w:rsidP="00CC78AE">
      <w:pPr>
        <w:spacing w:after="0" w:line="240" w:lineRule="auto"/>
      </w:pPr>
      <w:r>
        <w:separator/>
      </w:r>
    </w:p>
  </w:footnote>
  <w:footnote w:type="continuationSeparator" w:id="0">
    <w:p w14:paraId="17C921E2" w14:textId="77777777" w:rsidR="00BC2FF1" w:rsidRDefault="00BC2FF1" w:rsidP="00CC7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52D7"/>
    <w:multiLevelType w:val="hybridMultilevel"/>
    <w:tmpl w:val="7288506E"/>
    <w:lvl w:ilvl="0" w:tplc="EE2EEFFC">
      <w:start w:val="1"/>
      <w:numFmt w:val="decimal"/>
      <w:lvlText w:val="%1."/>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E618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D2B68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AE50C">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E6AE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30BDB0">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3AC73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0DE8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0A1D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7049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C"/>
    <w:rsid w:val="002201E6"/>
    <w:rsid w:val="008E3908"/>
    <w:rsid w:val="00B41D63"/>
    <w:rsid w:val="00BC2FF1"/>
    <w:rsid w:val="00CC78AE"/>
    <w:rsid w:val="00CD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978"/>
  <w15:chartTrackingRefBased/>
  <w15:docId w15:val="{097CAAC5-EEAA-4D07-B8B1-C86C3CC1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FC"/>
    <w:pPr>
      <w:spacing w:after="5" w:line="250" w:lineRule="auto"/>
    </w:pPr>
    <w:rPr>
      <w:rFonts w:ascii="Arial" w:eastAsia="Arial" w:hAnsi="Arial" w:cs="Arial"/>
      <w:color w:val="000000"/>
      <w:kern w:val="0"/>
      <w:sz w:val="24"/>
    </w:rPr>
  </w:style>
  <w:style w:type="paragraph" w:styleId="Heading1">
    <w:name w:val="heading 1"/>
    <w:basedOn w:val="Normal"/>
    <w:next w:val="Normal"/>
    <w:link w:val="Heading1Char"/>
    <w:uiPriority w:val="9"/>
    <w:qFormat/>
    <w:rsid w:val="00220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9FC"/>
    <w:pPr>
      <w:keepNext/>
      <w:keepLines/>
      <w:spacing w:after="5" w:line="250" w:lineRule="auto"/>
      <w:ind w:left="111" w:hanging="10"/>
      <w:jc w:val="both"/>
      <w:outlineLvl w:val="1"/>
    </w:pPr>
    <w:rPr>
      <w:rFonts w:ascii="Arial" w:eastAsia="Arial" w:hAnsi="Arial" w:cs="Arial"/>
      <w:b/>
      <w:color w:val="000000"/>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9FC"/>
    <w:rPr>
      <w:rFonts w:ascii="Arial" w:eastAsia="Arial" w:hAnsi="Arial" w:cs="Arial"/>
      <w:b/>
      <w:color w:val="000000"/>
      <w:kern w:val="0"/>
      <w:sz w:val="24"/>
    </w:rPr>
  </w:style>
  <w:style w:type="paragraph" w:styleId="Header">
    <w:name w:val="header"/>
    <w:basedOn w:val="Normal"/>
    <w:link w:val="HeaderChar"/>
    <w:uiPriority w:val="99"/>
    <w:unhideWhenUsed/>
    <w:rsid w:val="00CC7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8AE"/>
    <w:rPr>
      <w:rFonts w:ascii="Arial" w:eastAsia="Arial" w:hAnsi="Arial" w:cs="Arial"/>
      <w:color w:val="000000"/>
      <w:kern w:val="0"/>
      <w:sz w:val="24"/>
    </w:rPr>
  </w:style>
  <w:style w:type="paragraph" w:styleId="Footer">
    <w:name w:val="footer"/>
    <w:basedOn w:val="Normal"/>
    <w:link w:val="FooterChar"/>
    <w:uiPriority w:val="99"/>
    <w:unhideWhenUsed/>
    <w:rsid w:val="00CC7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AE"/>
    <w:rPr>
      <w:rFonts w:ascii="Arial" w:eastAsia="Arial" w:hAnsi="Arial" w:cs="Arial"/>
      <w:color w:val="000000"/>
      <w:kern w:val="0"/>
      <w:sz w:val="24"/>
    </w:rPr>
  </w:style>
  <w:style w:type="character" w:customStyle="1" w:styleId="Heading1Char">
    <w:name w:val="Heading 1 Char"/>
    <w:basedOn w:val="DefaultParagraphFont"/>
    <w:link w:val="Heading1"/>
    <w:uiPriority w:val="9"/>
    <w:rsid w:val="002201E6"/>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Strashnick</dc:creator>
  <cp:keywords/>
  <dc:description/>
  <cp:lastModifiedBy>Rachel Strashnick</cp:lastModifiedBy>
  <cp:revision>3</cp:revision>
  <dcterms:created xsi:type="dcterms:W3CDTF">2024-03-25T16:49:00Z</dcterms:created>
  <dcterms:modified xsi:type="dcterms:W3CDTF">2024-03-25T17:11:00Z</dcterms:modified>
</cp:coreProperties>
</file>